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5" w:rsidRPr="004531A8" w:rsidRDefault="00000A95" w:rsidP="00266318">
      <w:pPr>
        <w:jc w:val="both"/>
        <w:rPr>
          <w:rFonts w:asciiTheme="majorHAnsi" w:hAnsiTheme="majorHAnsi"/>
          <w:sz w:val="22"/>
          <w:szCs w:val="22"/>
        </w:rPr>
      </w:pPr>
      <w:r w:rsidRPr="004531A8">
        <w:rPr>
          <w:rFonts w:asciiTheme="majorHAnsi" w:hAnsiTheme="majorHAnsi"/>
          <w:sz w:val="22"/>
          <w:szCs w:val="22"/>
        </w:rPr>
        <w:t xml:space="preserve">Pula, </w:t>
      </w:r>
      <w:r w:rsidR="00D97DF8" w:rsidRPr="00D97DF8">
        <w:rPr>
          <w:rFonts w:asciiTheme="majorHAnsi" w:hAnsiTheme="majorHAnsi"/>
          <w:sz w:val="22"/>
          <w:szCs w:val="22"/>
        </w:rPr>
        <w:t>1</w:t>
      </w:r>
      <w:r w:rsidR="00516B1A" w:rsidRPr="00D97DF8">
        <w:rPr>
          <w:rFonts w:asciiTheme="majorHAnsi" w:hAnsiTheme="majorHAnsi"/>
          <w:sz w:val="22"/>
          <w:szCs w:val="22"/>
        </w:rPr>
        <w:t>8</w:t>
      </w:r>
      <w:r w:rsidR="005B79CF" w:rsidRPr="00D97DF8">
        <w:rPr>
          <w:rFonts w:asciiTheme="majorHAnsi" w:hAnsiTheme="majorHAnsi"/>
          <w:sz w:val="22"/>
          <w:szCs w:val="22"/>
        </w:rPr>
        <w:t>. srpnja 202</w:t>
      </w:r>
      <w:r w:rsidR="00516B1A" w:rsidRPr="00D97DF8">
        <w:rPr>
          <w:rFonts w:asciiTheme="majorHAnsi" w:hAnsiTheme="majorHAnsi"/>
          <w:sz w:val="22"/>
          <w:szCs w:val="22"/>
        </w:rPr>
        <w:t>2</w:t>
      </w:r>
      <w:r w:rsidR="004A4E1E" w:rsidRPr="00D97DF8">
        <w:rPr>
          <w:rFonts w:asciiTheme="majorHAnsi" w:hAnsiTheme="majorHAnsi"/>
          <w:sz w:val="22"/>
          <w:szCs w:val="22"/>
        </w:rPr>
        <w:t>.</w:t>
      </w:r>
    </w:p>
    <w:p w:rsidR="00000A95" w:rsidRDefault="00000A95" w:rsidP="00266318">
      <w:pPr>
        <w:jc w:val="both"/>
        <w:rPr>
          <w:rFonts w:asciiTheme="majorHAnsi" w:hAnsiTheme="majorHAnsi"/>
          <w:sz w:val="22"/>
          <w:szCs w:val="22"/>
        </w:rPr>
      </w:pPr>
    </w:p>
    <w:p w:rsidR="001D6742" w:rsidRDefault="001D6742" w:rsidP="00266318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A4E1E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4A4E1E" w:rsidRPr="00FB29C1" w:rsidRDefault="004A4E1E" w:rsidP="00266318">
      <w:pPr>
        <w:jc w:val="both"/>
        <w:rPr>
          <w:rFonts w:asciiTheme="majorHAnsi" w:hAnsiTheme="majorHAnsi"/>
          <w:sz w:val="22"/>
          <w:szCs w:val="22"/>
        </w:rPr>
      </w:pPr>
    </w:p>
    <w:p w:rsidR="00242D0C" w:rsidRDefault="00242D0C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8C7FE9" w:rsidP="004A4E1E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Izvješ</w:t>
      </w:r>
      <w:r w:rsidR="00A6192D">
        <w:rPr>
          <w:rFonts w:asciiTheme="majorHAnsi" w:hAnsiTheme="majorHAnsi"/>
          <w:b/>
          <w:i/>
          <w:sz w:val="28"/>
          <w:szCs w:val="28"/>
        </w:rPr>
        <w:t>taj</w:t>
      </w:r>
      <w:r>
        <w:rPr>
          <w:rFonts w:asciiTheme="majorHAnsi" w:hAnsiTheme="majorHAnsi"/>
          <w:b/>
          <w:i/>
          <w:sz w:val="28"/>
          <w:szCs w:val="28"/>
        </w:rPr>
        <w:t xml:space="preserve"> o izvršenju financijskog plana</w:t>
      </w:r>
    </w:p>
    <w:p w:rsidR="004A4E1E" w:rsidRPr="004A4E1E" w:rsidRDefault="004A4E1E" w:rsidP="004A4E1E">
      <w:pPr>
        <w:pStyle w:val="Odlomakpopisa"/>
        <w:ind w:left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4E1E">
        <w:rPr>
          <w:rFonts w:asciiTheme="majorHAnsi" w:hAnsiTheme="majorHAnsi"/>
          <w:b/>
          <w:i/>
          <w:sz w:val="28"/>
          <w:szCs w:val="28"/>
        </w:rPr>
        <w:t>za razdoblje od 1. siječnja do 30. lipnja 202</w:t>
      </w:r>
      <w:r w:rsidR="00C5119A">
        <w:rPr>
          <w:rFonts w:asciiTheme="majorHAnsi" w:hAnsiTheme="majorHAnsi"/>
          <w:b/>
          <w:i/>
          <w:sz w:val="28"/>
          <w:szCs w:val="28"/>
        </w:rPr>
        <w:t>2</w:t>
      </w:r>
      <w:r w:rsidRPr="004A4E1E">
        <w:rPr>
          <w:rFonts w:asciiTheme="majorHAnsi" w:hAnsiTheme="majorHAnsi"/>
          <w:b/>
          <w:i/>
          <w:sz w:val="28"/>
          <w:szCs w:val="28"/>
        </w:rPr>
        <w:t>.</w:t>
      </w: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861A78" w:rsidRDefault="00861A78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Proračunski korisnik: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Gradska knjižnica i čitaonica Pula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OIB: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28668912722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MB: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03203743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RKP: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34936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Razina: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21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Razdjel: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359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Djelatnost: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9101 – Djelatnosti knjižnica i arhiva</w:t>
      </w: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</w:p>
    <w:p w:rsidR="004A4E1E" w:rsidRPr="004A4E1E" w:rsidRDefault="004A4E1E" w:rsidP="004A4E1E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Zakonski predstavnik: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C5119A">
        <w:rPr>
          <w:rFonts w:asciiTheme="majorHAnsi" w:hAnsiTheme="majorHAnsi"/>
          <w:b/>
          <w:i/>
          <w:sz w:val="22"/>
          <w:szCs w:val="22"/>
        </w:rPr>
        <w:t>Nadia Bužleta</w:t>
      </w:r>
    </w:p>
    <w:p w:rsidR="005229BC" w:rsidRPr="00861A78" w:rsidRDefault="004A4E1E" w:rsidP="00861A78">
      <w:pPr>
        <w:pStyle w:val="Odlomakpopisa"/>
        <w:ind w:left="0"/>
        <w:rPr>
          <w:rFonts w:asciiTheme="majorHAnsi" w:hAnsiTheme="majorHAnsi"/>
          <w:b/>
          <w:i/>
          <w:sz w:val="22"/>
          <w:szCs w:val="22"/>
        </w:rPr>
      </w:pPr>
      <w:r w:rsidRPr="004A4E1E">
        <w:rPr>
          <w:rFonts w:asciiTheme="majorHAnsi" w:hAnsiTheme="majorHAnsi"/>
          <w:i/>
          <w:sz w:val="22"/>
          <w:szCs w:val="22"/>
        </w:rPr>
        <w:t>Voditelj računovodstveno-financijskih poslova:</w:t>
      </w:r>
      <w:r w:rsidRPr="004A4E1E">
        <w:rPr>
          <w:rFonts w:asciiTheme="majorHAnsi" w:hAnsiTheme="majorHAnsi"/>
          <w:b/>
          <w:i/>
          <w:sz w:val="22"/>
          <w:szCs w:val="22"/>
        </w:rPr>
        <w:t xml:space="preserve"> Alessandro Gasparini</w:t>
      </w:r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Temeljem odredbi članka 86. Zakona o proračunu (NN 144/21) utvrđena je obveza proračunskog korisnika da podnese prijedlog polugodišnjeg izvještaja o izvršenju financijskog plana za proteklo razdoblje upravljačkom tijelu do 31. srpnja tekuće proračunske godine.</w:t>
      </w:r>
    </w:p>
    <w:p w:rsidR="008C7FE9" w:rsidRPr="008C7FE9" w:rsidRDefault="008C7FE9" w:rsidP="008C7FE9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Na sadržaj polugodišnjeg izvještaja o izvršenju financijskog plana primjenjuju se odredbe članka 81.-85. Zakona o proračunu (NN 144/21).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I.</w:t>
      </w:r>
      <w:r w:rsidRPr="003738AC">
        <w:rPr>
          <w:rFonts w:asciiTheme="majorHAnsi" w:hAnsiTheme="majorHAnsi"/>
          <w:b/>
          <w:sz w:val="22"/>
          <w:szCs w:val="22"/>
        </w:rPr>
        <w:tab/>
        <w:t xml:space="preserve">OPĆI DIO 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501D5C" w:rsidRDefault="008C7FE9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Sažetak Računa prihoda i rashoda i Računa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Preneseni višak ili preneseni manjak prihoda nad rashodima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prihoda i rashoda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Prihodi i rashodi prema </w:t>
      </w:r>
      <w:r>
        <w:rPr>
          <w:rFonts w:asciiTheme="majorHAnsi" w:hAnsiTheme="majorHAnsi"/>
          <w:sz w:val="22"/>
          <w:szCs w:val="22"/>
        </w:rPr>
        <w:t>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Prihodi i ras</w:t>
      </w:r>
      <w:r>
        <w:rPr>
          <w:rFonts w:asciiTheme="majorHAnsi" w:hAnsiTheme="majorHAnsi"/>
          <w:sz w:val="22"/>
          <w:szCs w:val="22"/>
        </w:rPr>
        <w:t>hodi prema ekonomskoj klasifikaciji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Rashodi prema funkcijskoj klasifikaciji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Račun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Primici od financijske imovine i zaduživanja prema ekonomskoj klasifikaciji i izvorima financiranja</w:t>
      </w: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>Izdaci za financijsku imovinu i otplate instrumenata zaduživanja prema ekonomskoj klasifikaciji i izvorima financiranja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II.</w:t>
      </w:r>
      <w:r w:rsidRPr="003738AC">
        <w:rPr>
          <w:rFonts w:asciiTheme="majorHAnsi" w:hAnsiTheme="majorHAnsi"/>
          <w:b/>
          <w:sz w:val="22"/>
          <w:szCs w:val="22"/>
        </w:rPr>
        <w:tab/>
        <w:t>POSEBNI DIO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t xml:space="preserve">Izvršenje rashoda i izdataka iskazanih po izvorima financiranja i ekonomskoj klasifikaciji, raspoređenih u programe </w:t>
      </w:r>
      <w:r>
        <w:rPr>
          <w:rFonts w:asciiTheme="majorHAnsi" w:hAnsiTheme="majorHAnsi"/>
          <w:sz w:val="22"/>
          <w:szCs w:val="22"/>
        </w:rPr>
        <w:t>koji se sastoje od aktivnosti i projekata.</w:t>
      </w:r>
    </w:p>
    <w:p w:rsidR="008C7FE9" w:rsidRP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III.</w:t>
      </w:r>
      <w:r w:rsidRPr="003738AC">
        <w:rPr>
          <w:rFonts w:asciiTheme="majorHAnsi" w:hAnsiTheme="majorHAnsi"/>
          <w:b/>
          <w:sz w:val="22"/>
          <w:szCs w:val="22"/>
        </w:rPr>
        <w:tab/>
        <w:t>OBRAZLOŽENJE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ostvarenja prihoda i rashoda, primitaka i izdataka.</w:t>
      </w:r>
    </w:p>
    <w:p w:rsidR="00501D5C" w:rsidRDefault="00501D5C" w:rsidP="00501D5C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Obrazloženje prijenosa prenesenog manjka odnosno viška financijskog plana.</w:t>
      </w:r>
    </w:p>
    <w:p w:rsidR="00501D5C" w:rsidRPr="008C7FE9" w:rsidRDefault="00501D5C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8C7FE9" w:rsidP="008C7FE9">
      <w:pPr>
        <w:pStyle w:val="Odlomakpopisa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IV.</w:t>
      </w:r>
      <w:r w:rsidRPr="003738AC">
        <w:rPr>
          <w:rFonts w:asciiTheme="majorHAnsi" w:hAnsiTheme="majorHAnsi"/>
          <w:b/>
          <w:sz w:val="22"/>
          <w:szCs w:val="22"/>
        </w:rPr>
        <w:tab/>
        <w:t>POSEBNI IZVJEŠTAJI</w:t>
      </w:r>
    </w:p>
    <w:p w:rsidR="008C7FE9" w:rsidRDefault="008C7FE9" w:rsidP="008C7FE9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korištenju sredstava fondova Europske unije.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8C7FE9">
        <w:rPr>
          <w:rFonts w:asciiTheme="majorHAnsi" w:hAnsiTheme="majorHAnsi"/>
          <w:sz w:val="22"/>
          <w:szCs w:val="22"/>
        </w:rPr>
        <w:lastRenderedPageBreak/>
        <w:t>Izvještaj o zaduživanju na domaćem i stranom tržištu novca i kapitala</w:t>
      </w:r>
      <w:r>
        <w:rPr>
          <w:rFonts w:asciiTheme="majorHAnsi" w:hAnsiTheme="majorHAnsi"/>
          <w:sz w:val="22"/>
          <w:szCs w:val="22"/>
        </w:rPr>
        <w:t>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danim zajmovima i potraživanjima po danim zajmovima.</w:t>
      </w:r>
    </w:p>
    <w:p w:rsidR="008C7FE9" w:rsidRDefault="008C7FE9" w:rsidP="008C7FE9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Izvještaj o stanju potraživanja i dospjelih obveza te o stanju potencijalnih obveza po sudskim sporovima.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OPĆI DIO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Sažetak računa prihoda i rashoda i Računa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1040" w:type="dxa"/>
        <w:tblLook w:val="04A0" w:firstRow="1" w:lastRow="0" w:firstColumn="1" w:lastColumn="0" w:noHBand="0" w:noVBand="1"/>
      </w:tblPr>
      <w:tblGrid>
        <w:gridCol w:w="760"/>
        <w:gridCol w:w="4060"/>
        <w:gridCol w:w="1640"/>
        <w:gridCol w:w="1580"/>
        <w:gridCol w:w="1580"/>
        <w:gridCol w:w="841"/>
        <w:gridCol w:w="841"/>
      </w:tblGrid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2022.</w:t>
            </w:r>
          </w:p>
        </w:tc>
      </w:tr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Sažetak računa prihoda i rashoda i Računa financiranja</w:t>
            </w:r>
          </w:p>
        </w:tc>
      </w:tr>
      <w:tr w:rsidR="00866509" w:rsidRPr="00861A78" w:rsidTr="00861A78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Naziv razreda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1.1.-30.6.2021.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Tekući plan          1.1.-31.12.2022.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1.1.-30.6.2022.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Račun prihoda i rashoda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3.185.387,16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7.047.710,33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Ukupni prihodi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3.185.387,16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7.047.710,33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2.505.090,53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5.832.550,00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2.672.906,20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357.101,86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1.215.160,33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371.378,46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31%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Ukupni 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7.047.710,33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Račun financiranja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Neto financiranje / zaduživanje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  <w:tr w:rsidR="00866509" w:rsidRPr="00861A78" w:rsidTr="00861A78">
        <w:trPr>
          <w:trHeight w:val="300"/>
        </w:trPr>
        <w:tc>
          <w:tcPr>
            <w:tcW w:w="1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Višak / manjak + Neto financiranje / zaduživanje + Korišteno u prethodnim godinama</w:t>
            </w:r>
          </w:p>
        </w:tc>
      </w:tr>
      <w:tr w:rsidR="00866509" w:rsidRPr="00861A78" w:rsidTr="00861A7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323.194,77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228.814,13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861A7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61A7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501D5C" w:rsidRDefault="00501D5C" w:rsidP="00501D5C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Razlika između ostvarenih prihoda i primitaka te rashoda i izdataka u razdoblju od 1. siječnja do 30. lipnja 2022. iznosi </w:t>
      </w:r>
      <w:r w:rsidR="001F16EF">
        <w:rPr>
          <w:rFonts w:asciiTheme="majorHAnsi" w:hAnsiTheme="majorHAnsi"/>
          <w:sz w:val="22"/>
          <w:szCs w:val="22"/>
        </w:rPr>
        <w:t>228.814,13 kn</w:t>
      </w:r>
      <w:r>
        <w:rPr>
          <w:rFonts w:asciiTheme="majorHAnsi" w:hAnsiTheme="majorHAnsi"/>
          <w:sz w:val="22"/>
          <w:szCs w:val="22"/>
        </w:rPr>
        <w:t xml:space="preserve"> te </w:t>
      </w:r>
      <w:r w:rsidR="001F16EF">
        <w:rPr>
          <w:rFonts w:asciiTheme="majorHAnsi" w:hAnsiTheme="majorHAnsi"/>
          <w:sz w:val="22"/>
          <w:szCs w:val="22"/>
        </w:rPr>
        <w:t xml:space="preserve">ista </w:t>
      </w:r>
      <w:r>
        <w:rPr>
          <w:rFonts w:asciiTheme="majorHAnsi" w:hAnsiTheme="majorHAnsi"/>
          <w:sz w:val="22"/>
          <w:szCs w:val="22"/>
        </w:rPr>
        <w:t>predstavlja višak prihoda nad rashodima koji se prenosi u drugo polugodište.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Prihodi i rashodi prema ekonomskoj klasifikaciji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34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4"/>
        <w:gridCol w:w="5130"/>
        <w:gridCol w:w="1701"/>
        <w:gridCol w:w="1560"/>
        <w:gridCol w:w="2217"/>
        <w:gridCol w:w="841"/>
        <w:gridCol w:w="841"/>
      </w:tblGrid>
      <w:tr w:rsidR="00866509" w:rsidRPr="00F56768" w:rsidTr="00861A78">
        <w:trPr>
          <w:trHeight w:val="255"/>
        </w:trPr>
        <w:tc>
          <w:tcPr>
            <w:tcW w:w="1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866509" w:rsidRPr="00F56768" w:rsidTr="00861A78">
        <w:trPr>
          <w:trHeight w:val="255"/>
        </w:trPr>
        <w:tc>
          <w:tcPr>
            <w:tcW w:w="1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2022.</w:t>
            </w:r>
          </w:p>
        </w:tc>
      </w:tr>
      <w:tr w:rsidR="00866509" w:rsidRPr="00F56768" w:rsidTr="00861A78">
        <w:trPr>
          <w:trHeight w:val="255"/>
        </w:trPr>
        <w:tc>
          <w:tcPr>
            <w:tcW w:w="1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Račun prihoda i rashoda prema ekonomskoj klasifikaciji</w:t>
            </w:r>
          </w:p>
        </w:tc>
      </w:tr>
      <w:tr w:rsidR="00861A78" w:rsidRPr="00F56768" w:rsidTr="00861A78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Razred / skupina / podskupina</w:t>
            </w:r>
          </w:p>
        </w:tc>
        <w:tc>
          <w:tcPr>
            <w:tcW w:w="52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Naziv razreda, skupine i podskupine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 1.1.-30.6.2021.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Tekući plan          1.1.-31.12.2022.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1.1.-30.6.2022.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3.185.387,16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inozemstva i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749.299,96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1.341.050,00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729.191,17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organizacija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41.720,00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60.000,00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nenadležnih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707.579,96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1.281.050,00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729.191,17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57%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354.294,33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610.000,00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263.592,52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354.294,33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610.000,00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263.592,52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prodaje proizv. i robe te pruž. usluga i prihodi od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93.000,00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prodaje proizvoda i robe te pruženih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Donacije od pravnih i fizičkih osoba izvan opće države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iz nadležnog proračuna i HZZO-a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2.080.792,87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4.926.500,00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2.279.315,10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1A78" w:rsidRPr="00F56768" w:rsidTr="00861A7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iz nadležnog proračuna za financiranje redovne djelatnosti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2.080.792,87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4.926.500,00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2.279.315,10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1A78" w:rsidRPr="00F56768" w:rsidTr="00861A78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3.185.387,16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2.505.090,53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5.832.550,00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2.672.906,20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2.044.976,82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4.557.270,00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2.118.043,78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1.672.311,84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3.648.000,00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1.637.399,74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99.703,49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323.500,00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208.040,17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64%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272.961,49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585.770,00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262.603,87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460.113,71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1.275.280,00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554.862,42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72.774,40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151.660,00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64.037,09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173.706,09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531.000,00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252.799,80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134.667,50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403.520,00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147.500,97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37%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5.600,00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78.965,72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183.500,00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90.524,56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357.101,86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1.138.000,00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371.378,46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357.101,86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1.138.000,00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371.378,46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175.000,00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322.031,83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943.000,00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362.688,82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38%</w:t>
            </w:r>
          </w:p>
        </w:tc>
      </w:tr>
      <w:tr w:rsidR="00861A78" w:rsidRPr="00F56768" w:rsidTr="00861A78">
        <w:trPr>
          <w:trHeight w:val="255"/>
        </w:trPr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861A78" w:rsidRPr="00F56768" w:rsidTr="00861A78">
        <w:trPr>
          <w:trHeight w:val="25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Prihodi i rashodi prema izvorima financiranja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760"/>
        <w:gridCol w:w="4960"/>
        <w:gridCol w:w="1580"/>
        <w:gridCol w:w="1580"/>
        <w:gridCol w:w="1580"/>
        <w:gridCol w:w="841"/>
        <w:gridCol w:w="841"/>
      </w:tblGrid>
      <w:tr w:rsidR="00866509" w:rsidRPr="00F56768" w:rsidTr="00866509">
        <w:trPr>
          <w:trHeight w:val="255"/>
        </w:trPr>
        <w:tc>
          <w:tcPr>
            <w:tcW w:w="1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866509" w:rsidRPr="00F56768" w:rsidTr="00866509">
        <w:trPr>
          <w:trHeight w:val="255"/>
        </w:trPr>
        <w:tc>
          <w:tcPr>
            <w:tcW w:w="1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2022.</w:t>
            </w:r>
          </w:p>
        </w:tc>
      </w:tr>
      <w:tr w:rsidR="00866509" w:rsidRPr="00F56768" w:rsidTr="00866509">
        <w:trPr>
          <w:trHeight w:val="255"/>
        </w:trPr>
        <w:tc>
          <w:tcPr>
            <w:tcW w:w="1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i rashodi prema izvorima financiranja</w:t>
            </w:r>
          </w:p>
        </w:tc>
      </w:tr>
      <w:tr w:rsidR="00866509" w:rsidRPr="00F56768" w:rsidTr="00866509">
        <w:trPr>
          <w:trHeight w:val="9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Naziv izvora financiranja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 1.1.-30.6.2021.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Tekući plan          1.1.-31.12.2022.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1.1.-30.6.2022.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Sveukupni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3.185.387,16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2.080.792,87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4.926.500,00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2.279.315,10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519.369,65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873.600,00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526.566,21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60%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41.502,00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101.950,00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59.875,00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59%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91.499,96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173.000,00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76.500,00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55.208,35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66.249,96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41.720,00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za od sufinanciranja cijene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354.294,33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257.767,54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5.824,98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58%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866509" w:rsidRPr="00F56768" w:rsidTr="00866509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Ukupno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3.185.387,16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3.273.098,79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3+4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2.080.792,87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4.926.500,00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2.279.315,10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496.811,11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873.600,00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391.677,60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županijskog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40.263,19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101.950,00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41.293,78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41%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gradskog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64.485,47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173.000,00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84.366,14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131%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iz općinskog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46.133,68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50.050,06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38%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Pomoći od međunarodnih izvora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za od sufinanciranja cijene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133.706,07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197.581,98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148%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s naslova osiguranja, naknade štete i totalne štete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donacija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Prihodi od pruženih usluga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866509" w:rsidRPr="00F56768" w:rsidTr="00866509">
        <w:trPr>
          <w:trHeight w:val="2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</w:tbl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3738AC" w:rsidRDefault="00501D5C" w:rsidP="00501D5C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Rashodi prema funkcijskoj klasifikaciji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787"/>
        <w:gridCol w:w="3760"/>
        <w:gridCol w:w="1580"/>
        <w:gridCol w:w="1580"/>
        <w:gridCol w:w="1580"/>
        <w:gridCol w:w="841"/>
        <w:gridCol w:w="841"/>
      </w:tblGrid>
      <w:tr w:rsidR="00866509" w:rsidRPr="00F56768" w:rsidTr="00866509">
        <w:trPr>
          <w:trHeight w:val="25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866509" w:rsidRPr="00F56768" w:rsidTr="00866509">
        <w:trPr>
          <w:trHeight w:val="25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2022.</w:t>
            </w:r>
          </w:p>
        </w:tc>
      </w:tr>
      <w:tr w:rsidR="00866509" w:rsidRPr="00F56768" w:rsidTr="00866509">
        <w:trPr>
          <w:trHeight w:val="25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Rashodi prema funkcijskoj klasifikaciji</w:t>
            </w:r>
          </w:p>
        </w:tc>
      </w:tr>
      <w:tr w:rsidR="00866509" w:rsidRPr="00F56768" w:rsidTr="00866509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Oznaka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Opis oznake prema funkcijskoj klasifikaciji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 1.1.-30.6.2021.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Tekući plan          1.1.-31.12.2022.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1.1.-30.6.2022.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866509" w:rsidRPr="00F56768" w:rsidTr="00866509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866509" w:rsidRPr="00F56768" w:rsidTr="0086650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Sveukupni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3.185.387,16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866509" w:rsidRPr="00F56768" w:rsidTr="0086650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Rekreacija, kultura i religija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866509" w:rsidRPr="00F56768" w:rsidTr="0086650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Službe kulture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6.970.550,00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09" w:rsidRPr="00F56768" w:rsidRDefault="0086650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56768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</w:tbl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Default="00501D5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501D5C">
        <w:rPr>
          <w:rFonts w:asciiTheme="majorHAnsi" w:hAnsiTheme="majorHAnsi"/>
          <w:sz w:val="22"/>
          <w:szCs w:val="22"/>
        </w:rPr>
        <w:lastRenderedPageBreak/>
        <w:t>Primici od financijske imovine i zaduživanja i izdaci za financijsku imovinu i otplate zajmova nisu ostvareni, pa nisu ni iskazani u Računu financiranja prema izvorima financiranja i ekonomskoj klasifikaciji.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8C7FE9" w:rsidRPr="003738AC" w:rsidRDefault="00501D5C" w:rsidP="00501D5C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POSEBNI DIO</w:t>
      </w:r>
    </w:p>
    <w:p w:rsidR="00501D5C" w:rsidRDefault="00501D5C" w:rsidP="00501D5C">
      <w:pPr>
        <w:jc w:val="both"/>
        <w:rPr>
          <w:rFonts w:asciiTheme="majorHAnsi" w:hAnsiTheme="majorHAnsi"/>
          <w:sz w:val="22"/>
          <w:szCs w:val="22"/>
        </w:rPr>
      </w:pPr>
    </w:p>
    <w:p w:rsidR="00501D5C" w:rsidRPr="00501D5C" w:rsidRDefault="00040CB1" w:rsidP="00AD4CFC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nastavku je prikazano i</w:t>
      </w:r>
      <w:r w:rsidR="00501D5C" w:rsidRPr="00501D5C">
        <w:rPr>
          <w:rFonts w:asciiTheme="majorHAnsi" w:hAnsiTheme="majorHAnsi"/>
          <w:sz w:val="22"/>
          <w:szCs w:val="22"/>
        </w:rPr>
        <w:t>zvršenje rashoda i izdataka iskazanih po izvorima financiranja i ekonomskoj klasifikaciji, raspoređenih u programe koji se sastoje od aktivnosti i projekata.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122"/>
        <w:gridCol w:w="5840"/>
        <w:gridCol w:w="1580"/>
        <w:gridCol w:w="1580"/>
        <w:gridCol w:w="1580"/>
        <w:gridCol w:w="841"/>
        <w:gridCol w:w="841"/>
      </w:tblGrid>
      <w:tr w:rsidR="00735157" w:rsidRPr="00735157" w:rsidTr="00735157">
        <w:trPr>
          <w:trHeight w:val="255"/>
        </w:trPr>
        <w:tc>
          <w:tcPr>
            <w:tcW w:w="1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Gradska knjižnica i čitaonica Pula</w:t>
            </w:r>
          </w:p>
        </w:tc>
      </w:tr>
      <w:tr w:rsidR="00735157" w:rsidRPr="00735157" w:rsidTr="00735157">
        <w:trPr>
          <w:trHeight w:val="255"/>
        </w:trPr>
        <w:tc>
          <w:tcPr>
            <w:tcW w:w="1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Izvješće o izvršenju financijskog plana za razdoblje od 1. siječnja do 30. lipnja 2022.</w:t>
            </w:r>
          </w:p>
        </w:tc>
      </w:tr>
      <w:tr w:rsidR="00735157" w:rsidRPr="00735157" w:rsidTr="00735157">
        <w:trPr>
          <w:trHeight w:val="255"/>
        </w:trPr>
        <w:tc>
          <w:tcPr>
            <w:tcW w:w="1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i izdaci iskazani po izvorima financiranja i ekonomskoj klasifikaciji, raspoređenih u programe koji se sastoje od aktivnosti i projekata</w:t>
            </w:r>
          </w:p>
        </w:tc>
      </w:tr>
      <w:tr w:rsidR="00735157" w:rsidRPr="00735157" w:rsidTr="00735157">
        <w:trPr>
          <w:trHeight w:val="9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Razred / skupina / podskupina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Opis / Naziv razreda, skupine i podskupine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 1.1.-30.6.2021.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Tekući plan          1.1.-31.12.2022.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Ostvarenje            1.1.-30.6.2022.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Indeks (4=3/1)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Indeks (5=3/2)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1. Redovna djelatnost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2.354.858,20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5.392.400,00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2.499.835,03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1.1. Mreža knjižnice Pula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2.166.698,98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5.072.800,00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2.350.738,63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2.068.062,94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4.626.500,00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2.163.137,12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2.068.062,94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4.626.500,00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2.163.137,12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47%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1.731.977,21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3.996.500,00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1.840.344,04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46%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1.411.367,99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3.180.000,00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1.407.185,35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90.703,49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306.500,00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208.540,17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68%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229.905,73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510.000,00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224.618,52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336.085,73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630.000,00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322.793,08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63.676,00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48.968,00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87.839,57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266.000,00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137.437,58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107.824,44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56.783,13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76.745,72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161.000,00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79.604,37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98.636,04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446.300,00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187.601,51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98.636,04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446.300,00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187.601,51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98.636,04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436.300,00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187.601,51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190%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29.000,00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3.070,50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11%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85.528,54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234.000,00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105.317,76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10.887,50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162.700,00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69.173,06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635%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2.220,00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10.040,19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Aktivnost: 1.2. Matična služba Istarske županije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102.270,75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159.900,00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  77.171,30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48%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102.270,75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157.900,00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77.171,30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102.270,75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157.900,00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77.171,30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99.482,77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136.900,00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72.481,30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84.105,37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114.900,00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60.928,15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1.500,00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13.877,40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19.000,00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10.053,15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2.787,98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4.690,00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168%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2.450,00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4.690,00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337,98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Aktivnost: 1.3. Središnja knjižnica Talijana u RH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  85.888,47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159.700,00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 xml:space="preserve">        71.925,10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35157">
              <w:rPr>
                <w:rFonts w:ascii="Cambria" w:hAnsi="Cambria" w:cs="Calibri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85.888,47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159.700,00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71.925,10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85.888,47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159.700,00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71.925,10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81.770,07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137.100,00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67.376,51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66.326,24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115.100,00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56.546,37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1.500,00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10.943,83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19.000,00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9.330,14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4.118,40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22.600,00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4.548,59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4.118,40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9.600,00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430,19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4.118,40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2. Nabava knjižnične građe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322.031,83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950.000,00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366.230,59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2.1. Nabava knjižne i neknjižne građe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322.031,83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858.200,00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342.943,14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Opći prihodi i primici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12.729,93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116.177,98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12.729,93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116.177,98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12.729,93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116.177,98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12.729,93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116.177,98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913%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650,01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3.292,96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650,01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3.292,96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650,01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3.292,96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650,01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3.292,96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općinskog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1.891,00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1.891,00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1.891,00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1.891,00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297.688,98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221.581,20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297.688,98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221.581,20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297.688,98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221.581,20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297.688,98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410.000,00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221.581,20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52.200,00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52.200,00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52.200,00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52.200,00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2.2. Nabava knjiga na talijanskom jeziku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71.800,00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19.745,68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gradskog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4.431,69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4.431,69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4.431,69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4.431,69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županijskog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17.800,00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17.800,00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17.800,00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17.800,00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10.962,91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10.962,91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10.962,91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10.962,91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313,99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313,99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313,99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313,99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2.3. Nabava e-knjiga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3.541,77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3. Investicije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250.160,33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3.1. Nabava opreme za knjižnicu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250.160,33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35.070,03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5.147,87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od osiguranja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 / Višak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77.160,33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Vlastiti prihodi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Donacije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Postojenja i oprema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4. Programska djelatnost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105.500,00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7%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4.1. Projekt "Sadim - čitam - učim"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4.2. Virtualna zavičajna zbirka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4.3. Festival talijanske literature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inozemstva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Kapitalne pomoći iz inozemstva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Knjige u knjižnici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4.4. Okrugli stol "zaČITAJ se!"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976,84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4.5. Brazilski dani u Puli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Aktivnost: 4.6. Stručni skup "Digitalno u knjižnici"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državnog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3.500,00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Prihodi za posebne namjene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5. Knjižnica Vodnjan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63.835,46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76.641,49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5.1. Knjižnica Vodnjan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63.835,46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76.641,49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gradskog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63.835,46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76.641,49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63.835,46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153.000,00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76.641,49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52.600,40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111.000,00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56.634,35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51%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43.862,99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90.000,00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44.321,34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5.000,00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333%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7.237,41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7.313,01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11.235,06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42.000,00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20.007,14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178%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48%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1.150,00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2.530,00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1.380,00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9.364,66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42%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10.085,06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14.470,00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8.762,48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61%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500,00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6. Knjižnica Žminj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86.396,87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196.650,00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89.452,84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Program: 6.1. Knjižnica Žminj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86.396,87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196.650,00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89.452,84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općinskog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46.133,68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48.159,06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46.133,68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112.500,00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48.159,06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39.573,18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82.885,00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40.603,80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33.324,62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69.000,00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34.209,28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750,00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5.498,56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11.385,00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5.644,52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6.560,50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29.615,00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7.555,26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26%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1.265,00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679,80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5.870,50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16.850,00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5.805,46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34%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-  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380,00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6%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Izvor: Tekuće pomoći iz županijskog proračuna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40.263,19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84.150,00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41.293,78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40.263,19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84.150,00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41.293,78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39.573,19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82.885,00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40.603,78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49%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33.324,63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69.000,00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34.209,25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750,00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2.500,00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750,00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5.498,56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11.385,00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5.644,53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50%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1.265,00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735157" w:rsidRPr="00735157" w:rsidTr="00735157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1.265,00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690,00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55%</w:t>
            </w:r>
          </w:p>
        </w:tc>
      </w:tr>
      <w:tr w:rsidR="00735157" w:rsidRPr="00735157" w:rsidTr="00735157">
        <w:trPr>
          <w:trHeight w:val="25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Ukupno rashodi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2.862.192,39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7.047.710,33 kn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3.044.284,66 kn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35157" w:rsidRPr="00735157" w:rsidRDefault="0073515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35157">
              <w:rPr>
                <w:rFonts w:ascii="Cambria" w:hAnsi="Cambria" w:cs="Calibri"/>
                <w:color w:val="000000"/>
                <w:sz w:val="18"/>
                <w:szCs w:val="18"/>
              </w:rPr>
              <w:t>43%</w:t>
            </w:r>
          </w:p>
        </w:tc>
      </w:tr>
    </w:tbl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OBRAZLOŽENJE</w:t>
      </w:r>
    </w:p>
    <w:p w:rsidR="008C7FE9" w:rsidRDefault="008C7FE9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D4CFC" w:rsidRDefault="00AD4CFC" w:rsidP="00AD4CFC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AD4CFC">
        <w:rPr>
          <w:rFonts w:asciiTheme="majorHAnsi" w:hAnsiTheme="majorHAnsi"/>
          <w:sz w:val="22"/>
          <w:szCs w:val="22"/>
        </w:rPr>
        <w:t>Financijski plan Gradske knjižnice i čitaonice Pula usvojen na 8. sjednici Gradskog vijeća Grada Pule održanoj 7. prosinca 2021. u iznosu od 6.889.509,00 kuna, dok su I. izmjene i dopune Financijskog plana Gradske knjižnice i čitaonice Pula usvojene na 14. sjednici Gradskog vijeća Grada Pule održanoj 21. lipnja 2022. u iznosu od 7.047.710,33 kuna.</w:t>
      </w:r>
    </w:p>
    <w:p w:rsidR="007D3683" w:rsidRDefault="007D3683" w:rsidP="007D3683">
      <w:pPr>
        <w:jc w:val="both"/>
        <w:rPr>
          <w:rFonts w:asciiTheme="majorHAnsi" w:hAnsiTheme="majorHAnsi"/>
          <w:sz w:val="22"/>
          <w:szCs w:val="22"/>
        </w:rPr>
      </w:pPr>
    </w:p>
    <w:p w:rsidR="007D3683" w:rsidRPr="007D3683" w:rsidRDefault="007D3683" w:rsidP="007D3683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Obuhvaćeni su svi</w:t>
      </w:r>
      <w:r w:rsidRPr="007D3683">
        <w:rPr>
          <w:rFonts w:asciiTheme="majorHAnsi" w:hAnsiTheme="majorHAnsi"/>
          <w:sz w:val="22"/>
          <w:szCs w:val="22"/>
        </w:rPr>
        <w:t xml:space="preserve"> izvor</w:t>
      </w:r>
      <w:r>
        <w:rPr>
          <w:rFonts w:asciiTheme="majorHAnsi" w:hAnsiTheme="majorHAnsi"/>
          <w:sz w:val="22"/>
          <w:szCs w:val="22"/>
        </w:rPr>
        <w:t>i</w:t>
      </w:r>
      <w:r w:rsidRPr="007D3683">
        <w:rPr>
          <w:rFonts w:asciiTheme="majorHAnsi" w:hAnsiTheme="majorHAnsi"/>
          <w:sz w:val="22"/>
          <w:szCs w:val="22"/>
        </w:rPr>
        <w:t xml:space="preserve"> financiranja te </w:t>
      </w:r>
      <w:r>
        <w:rPr>
          <w:rFonts w:asciiTheme="majorHAnsi" w:hAnsiTheme="majorHAnsi"/>
          <w:sz w:val="22"/>
          <w:szCs w:val="22"/>
        </w:rPr>
        <w:t>prikazani planirani</w:t>
      </w:r>
      <w:r w:rsidRPr="007D3683">
        <w:rPr>
          <w:rFonts w:asciiTheme="majorHAnsi" w:hAnsiTheme="majorHAnsi"/>
          <w:sz w:val="22"/>
          <w:szCs w:val="22"/>
        </w:rPr>
        <w:t xml:space="preserve"> prihode poslovanja koji </w:t>
      </w:r>
      <w:r>
        <w:rPr>
          <w:rFonts w:asciiTheme="majorHAnsi" w:hAnsiTheme="majorHAnsi"/>
          <w:sz w:val="22"/>
          <w:szCs w:val="22"/>
        </w:rPr>
        <w:t>se koriste</w:t>
      </w:r>
      <w:r w:rsidRPr="007D3683">
        <w:rPr>
          <w:rFonts w:asciiTheme="majorHAnsi" w:hAnsiTheme="majorHAnsi"/>
          <w:sz w:val="22"/>
          <w:szCs w:val="22"/>
        </w:rPr>
        <w:t xml:space="preserve"> za pokrivanje planiranih rashoda poslovanja sukladno njihovoj namjeni a u skladu s odobrenim sredstvima u proračunu i potpisanim ugovorima o sufinanciranju</w:t>
      </w:r>
      <w:r>
        <w:rPr>
          <w:rFonts w:asciiTheme="majorHAnsi" w:hAnsiTheme="majorHAnsi"/>
          <w:sz w:val="22"/>
          <w:szCs w:val="22"/>
        </w:rPr>
        <w:t xml:space="preserve">. Temeljno polazište pri </w:t>
      </w:r>
      <w:r w:rsidRPr="007D3683">
        <w:rPr>
          <w:rFonts w:asciiTheme="majorHAnsi" w:hAnsiTheme="majorHAnsi"/>
          <w:sz w:val="22"/>
          <w:szCs w:val="22"/>
        </w:rPr>
        <w:t>planiranju prihoda i rashoda za 2022. bilo je njihovo ostvarenje u prethodnoj godini, odnosno prvom kvartalu 2022. Ugrađeni su u financijski plan svi prihodi na temelju potpisanih ugovora o sufinanciranju, i to: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01-17/1-2022 o korištenju sredstava iz Proračuna Grada Vodnjana na iznos od 173.000,00 kn za financiranje redovne djelatnosti Knjižnice Vodnjan,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01-18/1-2022 o korištenju sredstava iz Proračuna Općine Žminj na iznos od 132.500,00 kn za financiranje redovne djelatnosti Knjižnice Žminj,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01-37/2-2022 o korištenju sredstava iz Proračuna Istarske županije na iznos od 84.150,00 kn za sufinanciranje ½ plaće radnice u Knjižnici Žminj,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01-42/2-2022 o dodjeli financijskih sredstava iz proračuna Istarske županije za 2022. na iznos od 17.800,00 kn za nabavu knjiga na talijanskom jeziku za narodne knjižnice Istarske županije,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26-104-22 o korištenju sredstava iz Državnog proračuna na iznos od 20.000,00 kn za tekuće izdatke Matične službe za narodne i školske knjižnice Istarske županije,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32-103-22 o korištenju sredstava iz Državnog proračuna na iznos od 15.000,00 kn za program rada Središnje knjižnice Talijana,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07-0208-22 o korištenju sredstava iz Državnog proračuna na iznos od 410.000,00 kn za nabavu knjižne i neknjižne građe,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07-0209-22 o korištenju sredstava iz Državnog proračuna na iznos od 15.000,00 kn za nabavu knjižne i neknjižne građe na talijanskom jeziku,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35-0003-22 o korištenju sredstava iz Državnog proračuna na iznos od 15.000,00 kn za nastavak projekta digitalizacije u sklopu Virtualne zavičajne zbirke,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07-0166-22 o korištenju sredstava iz Državnog proračuna na iznos od 3.500,00 kn za realizaciju stručnog skupa „Digitalno u knjižnici: Izazovi digitalne posudbe i digitalnih usluga“,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lastRenderedPageBreak/>
        <w:t>Ugovora broj 07-0129-22 o korištenju sredstava iz Državnog proračuna na iznos od 6.000,00 kn za realizaciju 2. okruglog stola o poticanju čitanja kod djece i mladih „zaČITAJ se“,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07-0038-22 o korištenju sredstava iz Državnog proračuna na iznos od 2.500,00 kn za realizaciju 10. Brazilskih dana u Puli,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07-0037-22 o korištenju sredstava iz Državnog proračuna na iznos od 2.000,00 kn za realizaciju projekta „Sadim – čitam – učim“,</w:t>
      </w:r>
    </w:p>
    <w:p w:rsidR="007D3683" w:rsidRPr="007D3683" w:rsidRDefault="007D3683" w:rsidP="007D3683">
      <w:pPr>
        <w:pStyle w:val="Odlomakpopisa"/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Ugovora broj 14-0056-22 o korištenju sredstava iz Državnog proračuna na iznos od 100.000,00 kn za preuređenje i reorganizaciju prostora suterena Središnje knjižnice.</w:t>
      </w:r>
    </w:p>
    <w:p w:rsidR="007D3683" w:rsidRDefault="007D3683" w:rsidP="007D3683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A11BEF" w:rsidRPr="00A11BEF" w:rsidRDefault="00A11BEF" w:rsidP="00A11BEF">
      <w:pPr>
        <w:ind w:firstLine="708"/>
        <w:jc w:val="both"/>
        <w:rPr>
          <w:rFonts w:asciiTheme="majorHAnsi" w:hAnsiTheme="majorHAnsi"/>
          <w:sz w:val="22"/>
          <w:szCs w:val="22"/>
          <w:highlight w:val="yellow"/>
        </w:rPr>
      </w:pPr>
      <w:r>
        <w:rPr>
          <w:rFonts w:asciiTheme="majorHAnsi" w:hAnsiTheme="majorHAnsi"/>
          <w:sz w:val="22"/>
          <w:szCs w:val="22"/>
        </w:rPr>
        <w:t>U financijski plan ugrađen je i</w:t>
      </w:r>
      <w:r w:rsidRPr="00A11BEF">
        <w:rPr>
          <w:rFonts w:asciiTheme="majorHAnsi" w:hAnsiTheme="majorHAnsi"/>
          <w:sz w:val="22"/>
          <w:szCs w:val="22"/>
        </w:rPr>
        <w:t xml:space="preserve"> višak prihoda i primitaka nad rashodima i izdacima </w:t>
      </w:r>
      <w:r>
        <w:rPr>
          <w:rFonts w:asciiTheme="majorHAnsi" w:hAnsiTheme="majorHAnsi"/>
          <w:sz w:val="22"/>
          <w:szCs w:val="22"/>
        </w:rPr>
        <w:t xml:space="preserve">iz 2021. </w:t>
      </w:r>
      <w:r w:rsidRPr="00A11BEF">
        <w:rPr>
          <w:rFonts w:asciiTheme="majorHAnsi" w:hAnsiTheme="majorHAnsi"/>
          <w:sz w:val="22"/>
          <w:szCs w:val="22"/>
        </w:rPr>
        <w:t>u iznosu od 77.160,33 kn koji će se utrošiti tijekom 2022. za nabavu uredske opreme i namještaja u skladu s Odlukom Upravnog vijeća knjižnice o raspodjeli rezultata i načinu korištenja viška prihoda u 2022. (Urbroj: 01-33/3-2022 od 28. siječnja 2022.). Višak je u cijelosti ostvaren iz izvora Prihoda od sufinanciranja cijene usluga.</w:t>
      </w:r>
    </w:p>
    <w:p w:rsidR="00A11BEF" w:rsidRPr="007D3683" w:rsidRDefault="00A11BEF" w:rsidP="007D3683">
      <w:pPr>
        <w:pStyle w:val="Odlomakpopisa"/>
        <w:jc w:val="both"/>
        <w:rPr>
          <w:rFonts w:asciiTheme="majorHAnsi" w:hAnsiTheme="majorHAnsi"/>
          <w:sz w:val="22"/>
          <w:szCs w:val="22"/>
        </w:rPr>
      </w:pPr>
    </w:p>
    <w:p w:rsidR="007D3683" w:rsidRDefault="007D3683" w:rsidP="007D3683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 w:rsidRPr="007D3683">
        <w:rPr>
          <w:rFonts w:asciiTheme="majorHAnsi" w:hAnsiTheme="majorHAnsi"/>
          <w:sz w:val="22"/>
          <w:szCs w:val="22"/>
        </w:rPr>
        <w:t>Rashodi za zaposlene planirani su sukladno odredbama iz Kolektivnog ugovora za zaposlene u ustanovama kulture Grada Pule i njegovih dodataka, dok su materijalni rashodi procijenjeni s obzirom na njihovo ostvarenje prethodne godine, odnosno u prvom kvartalu 2022., poštujući propozicije iz Programa rada Gradske knjižnice i čitaonice Pula za 2022. donesenog na 18. sjednici Upravnog vijeća 15. studenog 2021. i predviđene stavke rashoda u 2022. Nadalje, u osmišljavanju programskih aktivnosti za razvoj knjižničarske djelatnosti u 2022. slijedilo se koliko je to bilo moguće, s obzirom na okolnosti poslovanja u uvjetima pandemije Covid-19 i naglog povećanja cijena energenata, okvir postavljen Strategijom razvoja Gradske knjižnice i čitaonice Pula. U planiranju prihoda i rashoda za 2022. vodilo se računa o proračunskom okviru Riznice Grada Pule unutar kojeg od 1. siječnja 2012. djeluje i Gradska knjižnica i čitaonica Pula.</w:t>
      </w:r>
    </w:p>
    <w:p w:rsidR="00A11BEF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D4CFC" w:rsidRDefault="00AD4CFC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U prvoj polovici 2022. ukupni prihodi i primici Gradske knjižnice i čitaonice Pula ostvareni su u iznosu od 3.</w:t>
      </w:r>
      <w:r w:rsidR="007D3683">
        <w:rPr>
          <w:rFonts w:asciiTheme="majorHAnsi" w:hAnsiTheme="majorHAnsi"/>
          <w:sz w:val="22"/>
          <w:szCs w:val="22"/>
        </w:rPr>
        <w:t>273.098,79 kn, odnosno na razini od 4</w:t>
      </w:r>
      <w:r w:rsidR="00F90A2E">
        <w:rPr>
          <w:rFonts w:asciiTheme="majorHAnsi" w:hAnsiTheme="majorHAnsi"/>
          <w:sz w:val="22"/>
          <w:szCs w:val="22"/>
        </w:rPr>
        <w:t>7</w:t>
      </w:r>
      <w:r w:rsidR="007D3683">
        <w:rPr>
          <w:rFonts w:asciiTheme="majorHAnsi" w:hAnsiTheme="majorHAnsi"/>
          <w:sz w:val="22"/>
          <w:szCs w:val="22"/>
        </w:rPr>
        <w:t>% u odnosu na planirane veličine.</w:t>
      </w:r>
    </w:p>
    <w:p w:rsidR="00AD4CFC" w:rsidRDefault="00AE1C7E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Istovremeno, u istom su razdoblju ostvareni ukupni rashodi u iznosu od 3.044.284,66 kn, što odgovara ostvarenju od 43% u odnosu na plan.</w:t>
      </w:r>
    </w:p>
    <w:p w:rsidR="00AE1C7E" w:rsidRDefault="00A11BEF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Slijedom navedenog</w:t>
      </w:r>
      <w:r w:rsidR="00AE1C7E">
        <w:rPr>
          <w:rFonts w:asciiTheme="majorHAnsi" w:hAnsiTheme="majorHAnsi"/>
          <w:sz w:val="22"/>
          <w:szCs w:val="22"/>
        </w:rPr>
        <w:t>, na dan 30. lipnja 2022. iskazan je višak prihoda nad rashodima izvještajnog razdoblja u iznosu od 228.814,13 kn, što uz preneseni višak iz 2021. u iznosu od 77.160,33 kn daje raspoloživa sredstva na početku drugog polugodišta u iznosu od 305.974,46 kn.</w:t>
      </w:r>
    </w:p>
    <w:p w:rsidR="00AD4CFC" w:rsidRDefault="00AD4CFC" w:rsidP="00AD4CFC">
      <w:pPr>
        <w:pStyle w:val="Odlomakpopisa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A11BEF" w:rsidRPr="00975C21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975C21">
        <w:rPr>
          <w:rFonts w:asciiTheme="majorHAnsi" w:hAnsiTheme="majorHAnsi"/>
          <w:sz w:val="22"/>
          <w:szCs w:val="22"/>
        </w:rPr>
        <w:t>Ostvarenje ukupnih prihoda je veće za 3% a rashoda za 6% u odnosu na isto razdoblje prethodne godine. Najveći porast zabilježen je kod podskupine ostalih rashoda za zaposlene (otpremnina za odlazak u mirovinu ravnateljice) i rashoda za materijal i energiju (nagli skok režijskih troškova, prvenstveno lož ulja za centralno grijanje, uslijed poremećene geopolitičke situacije).</w:t>
      </w:r>
    </w:p>
    <w:p w:rsidR="00F90A2E" w:rsidRPr="00975C21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F90A2E" w:rsidRPr="00975C21" w:rsidRDefault="00F90A2E" w:rsidP="00F90A2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975C21">
        <w:rPr>
          <w:rFonts w:asciiTheme="majorHAnsi" w:hAnsiTheme="majorHAnsi"/>
          <w:sz w:val="22"/>
          <w:szCs w:val="22"/>
        </w:rPr>
        <w:lastRenderedPageBreak/>
        <w:t>Realizacija prihoda slijedi planiranu mjesečnu i projektnu dinamiku, što se onda odražava na rashodovnu stranu. U skladu s navedenim, višak prihoda i primitaka sastoji se najvećim dijelom od prihoda za sufinanciranje cijene usluga (60.185,56 kn) te neutrošenih kapitalnih pomoći iz državnog proračuna za nabavu knjižnične građe (103.418,80 kn).</w:t>
      </w:r>
    </w:p>
    <w:p w:rsidR="00975C21" w:rsidRDefault="00975C21" w:rsidP="00975C21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975C21" w:rsidRPr="00FE7AC3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>Izvješće o izvršenju posebnog dijela financijskog plana prati realizaciju programa i aktivnosti kako su specificiranje u I. izmjenama  dopunama financijskog plana Gradske knjižnice i čitaonice Pula za 2021.</w:t>
      </w:r>
    </w:p>
    <w:p w:rsidR="00975C21" w:rsidRPr="00FE7AC3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>Rashodi za redovnu djelatnost ostvareni na razini od 46% u odnosu na planirane na godišnjoj razini, odnosno 106% u odnosu na isto razdoblje prethodne godine.</w:t>
      </w:r>
    </w:p>
    <w:p w:rsidR="00975C21" w:rsidRPr="00FE7AC3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>Nabava knjižnične građe bilježi ostvarenje od 39% u odnosu na godišnji plan i 114% u odnosu na razdoblje od 1. siječnja do 30. lipnja 2021. Razlog većeg ostvarenja je ranije zaprimljene kapitalne pomoći iz državnog proračuna za nabavu knjiga i neknjižne građe.</w:t>
      </w:r>
    </w:p>
    <w:p w:rsidR="00975C21" w:rsidRPr="00FE7AC3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 xml:space="preserve">Investicije su ostvarene na razini od 2% u odnosu na godišnji plan. </w:t>
      </w:r>
      <w:r w:rsidR="00FE7AC3" w:rsidRPr="00FE7AC3">
        <w:rPr>
          <w:rFonts w:asciiTheme="majorHAnsi" w:hAnsiTheme="majorHAnsi"/>
          <w:sz w:val="22"/>
          <w:szCs w:val="22"/>
        </w:rPr>
        <w:t>U drugom dijelu godine planirana je nabava namještaja i opreme za uređenje Odjela za mlade središnje knjižnice, što je dijelom sufinancirano kapitalnim pomoćima iz državnog proračuna. Ostatak će se utrošiti sukladno planiranoj dinamici i raspoloživim prihodima za posebne namjene.</w:t>
      </w:r>
    </w:p>
    <w:p w:rsidR="00975C21" w:rsidRPr="00FE7AC3" w:rsidRDefault="00975C21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>Programska djelatnost ostvarena je na razini od 7% u odnosu na godišnji plan. Od projekata sufinanciranih od strane Ministarstva kulture i medija RH, u prvoj polovici godine realiziran je samo Okrugli stol „zaČITAJ se!“. Glavnina programa predviđena je, kao što je uobičajeno, za jesen u sklopu Mjeseca hrvatske knjige.</w:t>
      </w:r>
    </w:p>
    <w:p w:rsidR="00975C21" w:rsidRPr="00FE7AC3" w:rsidRDefault="00FE7AC3" w:rsidP="00975C21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FE7AC3">
        <w:rPr>
          <w:rFonts w:asciiTheme="majorHAnsi" w:hAnsiTheme="majorHAnsi"/>
          <w:sz w:val="22"/>
          <w:szCs w:val="22"/>
        </w:rPr>
        <w:t>Redovna djelatnost Knjižnice Vodnjan i Knjižnice Žminj ostvarena je u skladu s planom, odnosno zaprimljenim tekućim i kapitalnim pomoćima iz nadležnih i županijskog proračuna. Ostvarenje je 50%, odnosno 45% u odnosu na plan, što odgovara očekivanjima za prvo polugodište.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numPr>
          <w:ilvl w:val="0"/>
          <w:numId w:val="9"/>
        </w:numPr>
        <w:jc w:val="both"/>
        <w:rPr>
          <w:rFonts w:asciiTheme="majorHAnsi" w:hAnsiTheme="majorHAnsi"/>
          <w:b/>
          <w:sz w:val="22"/>
          <w:szCs w:val="22"/>
        </w:rPr>
      </w:pPr>
      <w:r w:rsidRPr="003738AC">
        <w:rPr>
          <w:rFonts w:asciiTheme="majorHAnsi" w:hAnsiTheme="majorHAnsi"/>
          <w:b/>
          <w:sz w:val="22"/>
          <w:szCs w:val="22"/>
        </w:rPr>
        <w:t>POSEBNI IZVJEŠTAJI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korištenju sredstava fondova Europske unije.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izvještajnom razdoblju Gradska knjižnica i čitaonica Pula nije koristila sredstva fondova Europske unije.</w:t>
      </w:r>
    </w:p>
    <w:p w:rsidR="00040CB1" w:rsidRP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zaduživanju na domaćem i stranom tržištu novca i kapitala.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izvještajnom razdoblju Gradska knjižnica i čitaonica Pula nije se zaduživala ni na domaćem ni na stranom tržištu novca i kapitala.</w:t>
      </w:r>
    </w:p>
    <w:p w:rsidR="00040CB1" w:rsidRP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danim zajmovima i potraživanjima po danim zajmovima.</w:t>
      </w:r>
    </w:p>
    <w:p w:rsidR="00040CB1" w:rsidRDefault="00040CB1" w:rsidP="00040CB1">
      <w:pPr>
        <w:jc w:val="both"/>
        <w:rPr>
          <w:rFonts w:asciiTheme="majorHAnsi" w:hAnsiTheme="majorHAnsi"/>
          <w:sz w:val="22"/>
          <w:szCs w:val="22"/>
        </w:rPr>
      </w:pPr>
    </w:p>
    <w:p w:rsidR="00861A78" w:rsidRDefault="00861A78" w:rsidP="00861A78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U izvještajnom razdoblju Gradska knjižnica i čitaonica Pula nije </w:t>
      </w:r>
      <w:r w:rsidR="00FE1784">
        <w:rPr>
          <w:rFonts w:asciiTheme="majorHAnsi" w:hAnsiTheme="majorHAnsi"/>
          <w:sz w:val="22"/>
          <w:szCs w:val="22"/>
        </w:rPr>
        <w:t>davala zajmove ni primala pozajmice.</w:t>
      </w:r>
    </w:p>
    <w:p w:rsidR="0042219D" w:rsidRPr="00040CB1" w:rsidRDefault="0042219D" w:rsidP="00040CB1">
      <w:pPr>
        <w:jc w:val="both"/>
        <w:rPr>
          <w:rFonts w:asciiTheme="majorHAnsi" w:hAnsiTheme="majorHAnsi"/>
          <w:sz w:val="22"/>
          <w:szCs w:val="22"/>
        </w:rPr>
      </w:pPr>
    </w:p>
    <w:p w:rsidR="00040CB1" w:rsidRPr="003738AC" w:rsidRDefault="00040CB1" w:rsidP="00040CB1">
      <w:pPr>
        <w:pStyle w:val="Odlomakpopisa"/>
        <w:ind w:left="0"/>
        <w:jc w:val="both"/>
        <w:rPr>
          <w:rFonts w:asciiTheme="majorHAnsi" w:hAnsiTheme="majorHAnsi"/>
          <w:b/>
          <w:i/>
          <w:sz w:val="22"/>
          <w:szCs w:val="22"/>
        </w:rPr>
      </w:pPr>
      <w:r w:rsidRPr="003738AC">
        <w:rPr>
          <w:rFonts w:asciiTheme="majorHAnsi" w:hAnsiTheme="majorHAnsi"/>
          <w:b/>
          <w:i/>
          <w:sz w:val="22"/>
          <w:szCs w:val="22"/>
        </w:rPr>
        <w:t>Izvještaj o stanju potraživanja i dospjelih obveza te o stanju potencijalnih obveza po sudskim sporovima.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FE1784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Gradska knjižnica i čitaonica Pula na dan 30. lipnja 2022. iskazuje ukupna potraživanja u iznosu od 815.680,27 kn koji se sastoje od:</w:t>
      </w:r>
    </w:p>
    <w:p w:rsidR="00FE1784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potraživanja za naknade koje se refundiraju (HZZO) u iznosu od 8.627,72 kn,</w:t>
      </w:r>
    </w:p>
    <w:p w:rsidR="00FE1784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potraživanja za pomoći proračunskim korisnicima iz proračuna koji im nije nadležan u iznosu od 413.125,04 kn,</w:t>
      </w:r>
    </w:p>
    <w:p w:rsidR="00FE1784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potraživanja za prihode po posebnim propisima u iznosu od 69.192,50 kn te</w:t>
      </w:r>
    </w:p>
    <w:p w:rsidR="00FE1784" w:rsidRPr="00FE1784" w:rsidRDefault="00FE1784" w:rsidP="00FE1784">
      <w:pPr>
        <w:pStyle w:val="Odlomakpopisa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potraživanja za prihode proračunskih korisnika uplaćene u proračun u iznosu od 324.735,01 kn.</w:t>
      </w:r>
    </w:p>
    <w:p w:rsidR="00040CB1" w:rsidRDefault="00FE1784" w:rsidP="00FE1784">
      <w:pPr>
        <w:pStyle w:val="Odlomakpopisa"/>
        <w:ind w:left="0"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 kraju izvještajnog razdoblja Gradska knjižnica i čitaonica Pula nema dospjelih obveza kao ni potencijalnih obveza po sudskim sporovima. </w:t>
      </w: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040CB1" w:rsidRDefault="00040CB1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522003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Voditelj računovodstveno-financijskih poslova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Alessandro Gasparini</w:t>
      </w: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133ED7" w:rsidRDefault="00133ED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Default="00A81787" w:rsidP="00013C94">
      <w:pPr>
        <w:pStyle w:val="Odlomakpopisa"/>
        <w:ind w:left="0"/>
        <w:jc w:val="both"/>
        <w:rPr>
          <w:rFonts w:asciiTheme="majorHAnsi" w:hAnsiTheme="majorHAnsi"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Ravnateljica</w:t>
      </w: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A81787" w:rsidRPr="00FE7AC3" w:rsidRDefault="00A81787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_________________________________________________</w:t>
      </w:r>
    </w:p>
    <w:p w:rsidR="00A81787" w:rsidRPr="00FE7AC3" w:rsidRDefault="00870ADA" w:rsidP="00013C94">
      <w:pPr>
        <w:pStyle w:val="Odlomakpopisa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FE7AC3">
        <w:rPr>
          <w:rFonts w:asciiTheme="majorHAnsi" w:hAnsiTheme="majorHAnsi"/>
          <w:i/>
          <w:sz w:val="22"/>
          <w:szCs w:val="22"/>
        </w:rPr>
        <w:t>Nadia Bužleta</w:t>
      </w:r>
    </w:p>
    <w:sectPr w:rsidR="00A81787" w:rsidRPr="00FE7AC3" w:rsidSect="00861A7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95" w:rsidRDefault="00F90895">
      <w:r>
        <w:separator/>
      </w:r>
    </w:p>
  </w:endnote>
  <w:endnote w:type="continuationSeparator" w:id="0">
    <w:p w:rsidR="00F90895" w:rsidRDefault="00F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lly">
    <w:altName w:val="Corbel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78" w:rsidRPr="00E04103" w:rsidRDefault="00861A78" w:rsidP="004211E1">
    <w:pPr>
      <w:pStyle w:val="Podnoje"/>
      <w:rPr>
        <w:b/>
        <w:i/>
      </w:rPr>
    </w:pP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95" w:rsidRDefault="00F90895">
      <w:r>
        <w:separator/>
      </w:r>
    </w:p>
  </w:footnote>
  <w:footnote w:type="continuationSeparator" w:id="0">
    <w:p w:rsidR="00F90895" w:rsidRDefault="00F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78" w:rsidRPr="009527EB" w:rsidRDefault="00861A78" w:rsidP="00FB29C1">
    <w:pPr>
      <w:pStyle w:val="Zaglavlje"/>
      <w:tabs>
        <w:tab w:val="clear" w:pos="4536"/>
      </w:tabs>
      <w:ind w:left="354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683468" wp14:editId="76AF5364">
          <wp:simplePos x="0" y="0"/>
          <wp:positionH relativeFrom="column">
            <wp:posOffset>-23495</wp:posOffset>
          </wp:positionH>
          <wp:positionV relativeFrom="paragraph">
            <wp:posOffset>-134620</wp:posOffset>
          </wp:positionV>
          <wp:extent cx="2019300" cy="1121864"/>
          <wp:effectExtent l="0" t="0" r="0" b="2540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121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/>
        <w:sz w:val="22"/>
        <w:szCs w:val="22"/>
      </w:rPr>
      <w:t>Sv. Ivana 1/A, Pula</w:t>
    </w:r>
  </w:p>
  <w:p w:rsidR="00861A78" w:rsidRPr="009527EB" w:rsidRDefault="00861A78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OIB: 28668912722</w:t>
    </w:r>
  </w:p>
  <w:p w:rsidR="00861A78" w:rsidRPr="009527EB" w:rsidRDefault="00861A78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Telefon: 052/300-417</w:t>
    </w:r>
  </w:p>
  <w:p w:rsidR="00861A78" w:rsidRPr="009527EB" w:rsidRDefault="00861A78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Fax: 052/300-403</w:t>
    </w:r>
  </w:p>
  <w:p w:rsidR="00861A78" w:rsidRPr="009527EB" w:rsidRDefault="00861A78" w:rsidP="00FB29C1">
    <w:pPr>
      <w:autoSpaceDE w:val="0"/>
      <w:autoSpaceDN w:val="0"/>
      <w:adjustRightInd w:val="0"/>
      <w:rPr>
        <w:rFonts w:ascii="Dolly" w:hAnsi="Dolly" w:cs="MS Shell Dlg 2"/>
        <w:sz w:val="22"/>
        <w:szCs w:val="22"/>
      </w:rPr>
    </w:pP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sz w:val="22"/>
        <w:szCs w:val="22"/>
      </w:rPr>
      <w:tab/>
    </w:r>
    <w:r w:rsidRPr="009527EB">
      <w:rPr>
        <w:rFonts w:ascii="Dolly" w:hAnsi="Dolly" w:cs="Arial"/>
        <w:b/>
        <w:color w:val="E36C0A" w:themeColor="accent6" w:themeShade="BF"/>
        <w:sz w:val="22"/>
        <w:szCs w:val="22"/>
      </w:rPr>
      <w:t>|</w:t>
    </w:r>
    <w:r w:rsidRPr="009527EB">
      <w:rPr>
        <w:rFonts w:ascii="Dolly" w:hAnsi="Dolly" w:cs="Arial"/>
        <w:sz w:val="22"/>
        <w:szCs w:val="22"/>
      </w:rPr>
      <w:t xml:space="preserve"> </w:t>
    </w:r>
    <w:r w:rsidRPr="009527EB">
      <w:rPr>
        <w:rFonts w:ascii="Dolly" w:hAnsi="Dolly"/>
        <w:sz w:val="22"/>
        <w:szCs w:val="22"/>
      </w:rPr>
      <w:t>e-mail: knjiznica.pula@gkc-pula.hr</w:t>
    </w:r>
  </w:p>
  <w:p w:rsidR="00861A78" w:rsidRDefault="00861A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E03"/>
    <w:multiLevelType w:val="hybridMultilevel"/>
    <w:tmpl w:val="199007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C54FF"/>
    <w:multiLevelType w:val="hybridMultilevel"/>
    <w:tmpl w:val="17E06C3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AA"/>
    <w:multiLevelType w:val="hybridMultilevel"/>
    <w:tmpl w:val="EE3C3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737F"/>
    <w:multiLevelType w:val="hybridMultilevel"/>
    <w:tmpl w:val="36E08830"/>
    <w:lvl w:ilvl="0" w:tplc="B9EC3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15427E"/>
    <w:multiLevelType w:val="hybridMultilevel"/>
    <w:tmpl w:val="113C7914"/>
    <w:lvl w:ilvl="0" w:tplc="6CAC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C3C14"/>
    <w:multiLevelType w:val="hybridMultilevel"/>
    <w:tmpl w:val="28DCD748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3494"/>
    <w:multiLevelType w:val="hybridMultilevel"/>
    <w:tmpl w:val="89667F0A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2D49"/>
    <w:multiLevelType w:val="hybridMultilevel"/>
    <w:tmpl w:val="567A0A3E"/>
    <w:lvl w:ilvl="0" w:tplc="FA261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23B07"/>
    <w:multiLevelType w:val="hybridMultilevel"/>
    <w:tmpl w:val="6E9E1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F7911"/>
    <w:multiLevelType w:val="hybridMultilevel"/>
    <w:tmpl w:val="C6AC5B2E"/>
    <w:lvl w:ilvl="0" w:tplc="68C84F7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75FE"/>
    <w:multiLevelType w:val="hybridMultilevel"/>
    <w:tmpl w:val="1EF06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1"/>
    <w:rsid w:val="00000A95"/>
    <w:rsid w:val="00013C94"/>
    <w:rsid w:val="00015E54"/>
    <w:rsid w:val="00021C98"/>
    <w:rsid w:val="00037CBF"/>
    <w:rsid w:val="00040CB1"/>
    <w:rsid w:val="00045DA5"/>
    <w:rsid w:val="00052106"/>
    <w:rsid w:val="00055ADE"/>
    <w:rsid w:val="00064427"/>
    <w:rsid w:val="00091040"/>
    <w:rsid w:val="000A2615"/>
    <w:rsid w:val="000D0B0A"/>
    <w:rsid w:val="000F5597"/>
    <w:rsid w:val="00133ED7"/>
    <w:rsid w:val="00151F76"/>
    <w:rsid w:val="00164BF1"/>
    <w:rsid w:val="001672B7"/>
    <w:rsid w:val="00173E1D"/>
    <w:rsid w:val="001B7725"/>
    <w:rsid w:val="001C5A39"/>
    <w:rsid w:val="001C6245"/>
    <w:rsid w:val="001C79A4"/>
    <w:rsid w:val="001D4D88"/>
    <w:rsid w:val="001D6742"/>
    <w:rsid w:val="001D7BAF"/>
    <w:rsid w:val="001F16EF"/>
    <w:rsid w:val="00202178"/>
    <w:rsid w:val="00220B24"/>
    <w:rsid w:val="00242D0C"/>
    <w:rsid w:val="00266318"/>
    <w:rsid w:val="002909AC"/>
    <w:rsid w:val="002A21B7"/>
    <w:rsid w:val="002C536F"/>
    <w:rsid w:val="002C6008"/>
    <w:rsid w:val="002C7608"/>
    <w:rsid w:val="002C77BE"/>
    <w:rsid w:val="003105AC"/>
    <w:rsid w:val="00312379"/>
    <w:rsid w:val="00316194"/>
    <w:rsid w:val="00323DEC"/>
    <w:rsid w:val="0034399A"/>
    <w:rsid w:val="003463DF"/>
    <w:rsid w:val="00357C91"/>
    <w:rsid w:val="003738AC"/>
    <w:rsid w:val="0037759D"/>
    <w:rsid w:val="003A3CE8"/>
    <w:rsid w:val="003D6819"/>
    <w:rsid w:val="003E0ABB"/>
    <w:rsid w:val="003E315E"/>
    <w:rsid w:val="00417896"/>
    <w:rsid w:val="004211E1"/>
    <w:rsid w:val="0042219D"/>
    <w:rsid w:val="00437FB7"/>
    <w:rsid w:val="00450B74"/>
    <w:rsid w:val="00451B0D"/>
    <w:rsid w:val="0045284C"/>
    <w:rsid w:val="004531A8"/>
    <w:rsid w:val="004629E7"/>
    <w:rsid w:val="004670CB"/>
    <w:rsid w:val="004820D3"/>
    <w:rsid w:val="00482C13"/>
    <w:rsid w:val="004A4E1E"/>
    <w:rsid w:val="004B1652"/>
    <w:rsid w:val="004B1AF8"/>
    <w:rsid w:val="004C524F"/>
    <w:rsid w:val="004D5E25"/>
    <w:rsid w:val="004E2E83"/>
    <w:rsid w:val="004E7B02"/>
    <w:rsid w:val="00501A65"/>
    <w:rsid w:val="00501D5C"/>
    <w:rsid w:val="00502B30"/>
    <w:rsid w:val="00516B1A"/>
    <w:rsid w:val="00522003"/>
    <w:rsid w:val="005229BC"/>
    <w:rsid w:val="0054399C"/>
    <w:rsid w:val="00572E7A"/>
    <w:rsid w:val="005A21EF"/>
    <w:rsid w:val="005B14CA"/>
    <w:rsid w:val="005B79CF"/>
    <w:rsid w:val="005C6DA3"/>
    <w:rsid w:val="005E6DAC"/>
    <w:rsid w:val="00611632"/>
    <w:rsid w:val="00647A1F"/>
    <w:rsid w:val="00686F3A"/>
    <w:rsid w:val="00693CCE"/>
    <w:rsid w:val="006C07F0"/>
    <w:rsid w:val="006F3CFE"/>
    <w:rsid w:val="00735157"/>
    <w:rsid w:val="00746678"/>
    <w:rsid w:val="007521FB"/>
    <w:rsid w:val="00757AFF"/>
    <w:rsid w:val="0076670F"/>
    <w:rsid w:val="007A2B53"/>
    <w:rsid w:val="007C3028"/>
    <w:rsid w:val="007C4C03"/>
    <w:rsid w:val="007D3683"/>
    <w:rsid w:val="007D5A81"/>
    <w:rsid w:val="007E4DAA"/>
    <w:rsid w:val="00806773"/>
    <w:rsid w:val="00807EF7"/>
    <w:rsid w:val="008158BC"/>
    <w:rsid w:val="008214D6"/>
    <w:rsid w:val="008227FD"/>
    <w:rsid w:val="00834A79"/>
    <w:rsid w:val="008555EC"/>
    <w:rsid w:val="00861A78"/>
    <w:rsid w:val="00866509"/>
    <w:rsid w:val="00870ADA"/>
    <w:rsid w:val="0087520C"/>
    <w:rsid w:val="008942FB"/>
    <w:rsid w:val="008A5434"/>
    <w:rsid w:val="008A69FF"/>
    <w:rsid w:val="008B47F7"/>
    <w:rsid w:val="008C3A9A"/>
    <w:rsid w:val="008C7FE9"/>
    <w:rsid w:val="008F1621"/>
    <w:rsid w:val="008F376B"/>
    <w:rsid w:val="00915082"/>
    <w:rsid w:val="0093114A"/>
    <w:rsid w:val="00941989"/>
    <w:rsid w:val="00963253"/>
    <w:rsid w:val="009639E9"/>
    <w:rsid w:val="00967B85"/>
    <w:rsid w:val="00975C21"/>
    <w:rsid w:val="00976E0C"/>
    <w:rsid w:val="00981107"/>
    <w:rsid w:val="009B6DE1"/>
    <w:rsid w:val="009C2E36"/>
    <w:rsid w:val="009E0150"/>
    <w:rsid w:val="009E132A"/>
    <w:rsid w:val="009F048C"/>
    <w:rsid w:val="009F173C"/>
    <w:rsid w:val="009F2A71"/>
    <w:rsid w:val="009F370D"/>
    <w:rsid w:val="009F76B9"/>
    <w:rsid w:val="00A11BEF"/>
    <w:rsid w:val="00A25545"/>
    <w:rsid w:val="00A41764"/>
    <w:rsid w:val="00A44EE5"/>
    <w:rsid w:val="00A51B5A"/>
    <w:rsid w:val="00A60070"/>
    <w:rsid w:val="00A6192D"/>
    <w:rsid w:val="00A81787"/>
    <w:rsid w:val="00AB2F7F"/>
    <w:rsid w:val="00AD4CFC"/>
    <w:rsid w:val="00AE1C7E"/>
    <w:rsid w:val="00B11893"/>
    <w:rsid w:val="00B2478D"/>
    <w:rsid w:val="00B33FB6"/>
    <w:rsid w:val="00B53BC8"/>
    <w:rsid w:val="00B87659"/>
    <w:rsid w:val="00B91A0C"/>
    <w:rsid w:val="00BA3BC3"/>
    <w:rsid w:val="00BB5A44"/>
    <w:rsid w:val="00BF1169"/>
    <w:rsid w:val="00BF467F"/>
    <w:rsid w:val="00C24C00"/>
    <w:rsid w:val="00C25642"/>
    <w:rsid w:val="00C26D64"/>
    <w:rsid w:val="00C2752A"/>
    <w:rsid w:val="00C34897"/>
    <w:rsid w:val="00C4790F"/>
    <w:rsid w:val="00C5119A"/>
    <w:rsid w:val="00C54DF0"/>
    <w:rsid w:val="00C9577C"/>
    <w:rsid w:val="00CA1229"/>
    <w:rsid w:val="00CA1DDE"/>
    <w:rsid w:val="00CA4D79"/>
    <w:rsid w:val="00CA7EE4"/>
    <w:rsid w:val="00CB0B6B"/>
    <w:rsid w:val="00CB0FBB"/>
    <w:rsid w:val="00CB7476"/>
    <w:rsid w:val="00D22723"/>
    <w:rsid w:val="00D33080"/>
    <w:rsid w:val="00D35E52"/>
    <w:rsid w:val="00D439B4"/>
    <w:rsid w:val="00D5131D"/>
    <w:rsid w:val="00D523B5"/>
    <w:rsid w:val="00D61457"/>
    <w:rsid w:val="00D710F3"/>
    <w:rsid w:val="00D71536"/>
    <w:rsid w:val="00D97DF8"/>
    <w:rsid w:val="00DA3AE8"/>
    <w:rsid w:val="00DB050A"/>
    <w:rsid w:val="00DC463E"/>
    <w:rsid w:val="00DE387E"/>
    <w:rsid w:val="00DE4C0F"/>
    <w:rsid w:val="00DE579A"/>
    <w:rsid w:val="00E01F82"/>
    <w:rsid w:val="00E04103"/>
    <w:rsid w:val="00E07897"/>
    <w:rsid w:val="00E21F2E"/>
    <w:rsid w:val="00E559CD"/>
    <w:rsid w:val="00E62137"/>
    <w:rsid w:val="00E62DAF"/>
    <w:rsid w:val="00E974B1"/>
    <w:rsid w:val="00ED33EC"/>
    <w:rsid w:val="00ED5731"/>
    <w:rsid w:val="00EF3A4E"/>
    <w:rsid w:val="00F45C58"/>
    <w:rsid w:val="00F511D4"/>
    <w:rsid w:val="00F56768"/>
    <w:rsid w:val="00F703D6"/>
    <w:rsid w:val="00F90895"/>
    <w:rsid w:val="00F90A2E"/>
    <w:rsid w:val="00F9574E"/>
    <w:rsid w:val="00FA3031"/>
    <w:rsid w:val="00FB1E60"/>
    <w:rsid w:val="00FB29C1"/>
    <w:rsid w:val="00FE1784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sid w:val="00220B24"/>
    <w:rPr>
      <w:sz w:val="20"/>
      <w:szCs w:val="20"/>
    </w:rPr>
  </w:style>
  <w:style w:type="character" w:styleId="Referencafusnote">
    <w:name w:val="footnote reference"/>
    <w:basedOn w:val="Zadanifontodlomka"/>
    <w:semiHidden/>
    <w:rsid w:val="00220B24"/>
    <w:rPr>
      <w:vertAlign w:val="superscript"/>
    </w:rPr>
  </w:style>
  <w:style w:type="paragraph" w:styleId="Zaglavlje">
    <w:name w:val="header"/>
    <w:basedOn w:val="Normal"/>
    <w:rsid w:val="00220B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20B2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6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2D0C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07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\Desktop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FCB7-BDEE-453A-BD51-6014D4F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760</TotalTime>
  <Pages>18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01-268/1-2009</vt:lpstr>
    </vt:vector>
  </TitlesOfParts>
  <Company>RH-TDU</Company>
  <LinksUpToDate>false</LinksUpToDate>
  <CharactersWithSpaces>47344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01-268/1-2009</dc:title>
  <dc:creator>EU</dc:creator>
  <cp:lastModifiedBy>Admin</cp:lastModifiedBy>
  <cp:revision>87</cp:revision>
  <cp:lastPrinted>2022-07-18T09:12:00Z</cp:lastPrinted>
  <dcterms:created xsi:type="dcterms:W3CDTF">2015-01-23T09:50:00Z</dcterms:created>
  <dcterms:modified xsi:type="dcterms:W3CDTF">2024-02-12T12:16:00Z</dcterms:modified>
</cp:coreProperties>
</file>